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A" w:rsidRDefault="00785F8A" w:rsidP="00B055F0">
      <w:pPr>
        <w:shd w:val="clear" w:color="auto" w:fill="FFFFFF"/>
        <w:spacing w:after="60" w:line="360" w:lineRule="auto"/>
        <w:jc w:val="both"/>
        <w:rPr>
          <w:rFonts w:eastAsia="Times New Roman" w:cstheme="minorHAnsi"/>
        </w:rPr>
      </w:pPr>
    </w:p>
    <w:p w:rsidR="00785F8A" w:rsidRPr="00785F8A" w:rsidRDefault="00785F8A" w:rsidP="00785F8A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785F8A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785F8A">
        <w:rPr>
          <w:rFonts w:ascii="Times New Roman" w:hAnsi="Times New Roman"/>
          <w:b/>
          <w:sz w:val="24"/>
          <w:szCs w:val="24"/>
        </w:rPr>
        <w:t>Proiectul</w:t>
      </w:r>
      <w:proofErr w:type="spellEnd"/>
      <w:r w:rsidRPr="00785F8A">
        <w:rPr>
          <w:rFonts w:ascii="Times New Roman" w:hAnsi="Times New Roman"/>
          <w:sz w:val="24"/>
          <w:szCs w:val="24"/>
        </w:rPr>
        <w:t xml:space="preserve"> </w:t>
      </w:r>
      <w:r w:rsidRPr="00785F8A">
        <w:rPr>
          <w:rFonts w:ascii="Times New Roman" w:hAnsi="Times New Roman"/>
          <w:sz w:val="24"/>
          <w:szCs w:val="24"/>
          <w:lang w:val="ro-RO"/>
        </w:rPr>
        <w:t xml:space="preserve">PN-III-P2-2.1-PED-2019-5031, nr.contract 507PED/2020 intitulat </w:t>
      </w:r>
    </w:p>
    <w:p w:rsidR="00785F8A" w:rsidRP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 w:cs="Times New Roman"/>
          <w:sz w:val="24"/>
          <w:szCs w:val="24"/>
        </w:rPr>
      </w:pPr>
      <w:r w:rsidRPr="00785F8A">
        <w:rPr>
          <w:rFonts w:ascii="Times New Roman" w:hAnsi="Times New Roman" w:cs="Times New Roman"/>
          <w:sz w:val="24"/>
          <w:szCs w:val="24"/>
        </w:rPr>
        <w:t>“Biocatalysis Engineering–Selective Magnetic nanoparticles-based Reactor Technology (BE-SMART)”</w:t>
      </w:r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85F8A">
        <w:rPr>
          <w:rFonts w:ascii="Times New Roman" w:hAnsi="Times New Roman"/>
          <w:b/>
          <w:sz w:val="24"/>
          <w:szCs w:val="24"/>
        </w:rPr>
        <w:t>Pozitia</w:t>
      </w:r>
      <w:r>
        <w:rPr>
          <w:rFonts w:ascii="Times New Roman" w:hAnsi="Times New Roman"/>
          <w:sz w:val="24"/>
          <w:szCs w:val="24"/>
        </w:rPr>
        <w:t xml:space="preserve"> inginer chimist </w:t>
      </w:r>
    </w:p>
    <w:p w:rsidR="00785F8A" w:rsidRDefault="00785F8A" w:rsidP="00785F8A">
      <w:pPr>
        <w:pStyle w:val="ListParagraph"/>
        <w:shd w:val="clear" w:color="auto" w:fill="FFFFFF"/>
        <w:spacing w:after="60" w:line="360" w:lineRule="auto"/>
        <w:jc w:val="both"/>
        <w:rPr>
          <w:rFonts w:cstheme="minorHAnsi"/>
        </w:rPr>
      </w:pPr>
    </w:p>
    <w:p w:rsidR="007F38FA" w:rsidRPr="007F38FA" w:rsidRDefault="007F38FA" w:rsidP="007F38FA">
      <w:pPr>
        <w:spacing w:after="0" w:line="360" w:lineRule="auto"/>
        <w:jc w:val="both"/>
        <w:rPr>
          <w:rFonts w:ascii="Arial" w:hAnsi="Arial" w:cs="Arial"/>
          <w:b/>
        </w:rPr>
      </w:pPr>
      <w:r w:rsidRPr="006609FB">
        <w:rPr>
          <w:rFonts w:ascii="Arial" w:hAnsi="Arial" w:cs="Arial"/>
        </w:rPr>
        <w:t xml:space="preserve"> </w:t>
      </w:r>
      <w:proofErr w:type="spellStart"/>
      <w:r w:rsidRPr="007F38FA">
        <w:rPr>
          <w:rFonts w:ascii="Arial" w:hAnsi="Arial" w:cs="Arial"/>
          <w:b/>
        </w:rPr>
        <w:t>Tematica</w:t>
      </w:r>
      <w:proofErr w:type="spellEnd"/>
      <w:r w:rsidRPr="007F38FA">
        <w:rPr>
          <w:rFonts w:ascii="Arial" w:hAnsi="Arial" w:cs="Arial"/>
          <w:b/>
        </w:rPr>
        <w:t xml:space="preserve">: </w:t>
      </w:r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proofErr w:type="spellStart"/>
      <w:r>
        <w:rPr>
          <w:rFonts w:ascii="Arial" w:hAnsi="Arial" w:cs="Arial"/>
        </w:rPr>
        <w:t>Metode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monitorizare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reacţiilor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enzimatice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catalizate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transaminaze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și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amoniacliaze</w:t>
      </w:r>
      <w:proofErr w:type="spellEnd"/>
      <w:r>
        <w:rPr>
          <w:rFonts w:ascii="Arial" w:hAnsi="Arial" w:cs="Arial"/>
        </w:rPr>
        <w:t>.</w:t>
      </w:r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Imobilizarea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enzimelor</w:t>
      </w:r>
      <w:proofErr w:type="spellEnd"/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7F38FA" w:rsidRPr="007F38FA" w:rsidRDefault="007F38FA" w:rsidP="007F38FA">
      <w:pPr>
        <w:spacing w:after="0" w:line="360" w:lineRule="auto"/>
        <w:jc w:val="both"/>
        <w:rPr>
          <w:rFonts w:ascii="Arial" w:hAnsi="Arial" w:cs="Arial"/>
          <w:b/>
          <w:lang w:val="pt-BR"/>
        </w:rPr>
      </w:pPr>
      <w:r w:rsidRPr="006609FB">
        <w:rPr>
          <w:rFonts w:ascii="Arial" w:hAnsi="Arial" w:cs="Arial"/>
          <w:b/>
          <w:lang w:val="pt-BR"/>
        </w:rPr>
        <w:t xml:space="preserve"> </w:t>
      </w:r>
      <w:r w:rsidRPr="007F38FA">
        <w:rPr>
          <w:rFonts w:ascii="Arial" w:hAnsi="Arial" w:cs="Arial"/>
          <w:b/>
          <w:lang w:val="pt-BR"/>
        </w:rPr>
        <w:t xml:space="preserve">Bibliografia: </w:t>
      </w:r>
    </w:p>
    <w:p w:rsidR="007F38F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proofErr w:type="spellStart"/>
      <w:r w:rsidRPr="0059315A">
        <w:rPr>
          <w:rFonts w:ascii="Arial" w:eastAsia="Times New Roman" w:hAnsi="Arial" w:cs="Arial"/>
          <w:lang w:val="en-US"/>
        </w:rPr>
        <w:t>Molnár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Z., </w:t>
      </w:r>
      <w:proofErr w:type="spellStart"/>
      <w:r w:rsidRPr="0059315A">
        <w:rPr>
          <w:rFonts w:ascii="Arial" w:eastAsia="Times New Roman" w:hAnsi="Arial" w:cs="Arial"/>
          <w:lang w:val="en-US"/>
        </w:rPr>
        <w:t>Farkas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E., </w:t>
      </w:r>
      <w:proofErr w:type="spellStart"/>
      <w:r w:rsidRPr="0059315A">
        <w:rPr>
          <w:rFonts w:ascii="Arial" w:eastAsia="Times New Roman" w:hAnsi="Arial" w:cs="Arial"/>
          <w:lang w:val="en-US"/>
        </w:rPr>
        <w:t>Lakó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Á., </w:t>
      </w:r>
      <w:proofErr w:type="spellStart"/>
      <w:r w:rsidRPr="0059315A">
        <w:rPr>
          <w:rFonts w:ascii="Arial" w:eastAsia="Times New Roman" w:hAnsi="Arial" w:cs="Arial"/>
          <w:lang w:val="en-US"/>
        </w:rPr>
        <w:t>Erdélyi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B., </w:t>
      </w:r>
      <w:proofErr w:type="spellStart"/>
      <w:r w:rsidRPr="0059315A">
        <w:rPr>
          <w:rFonts w:ascii="Arial" w:eastAsia="Times New Roman" w:hAnsi="Arial" w:cs="Arial"/>
          <w:lang w:val="en-US"/>
        </w:rPr>
        <w:t>Kroutil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W., </w:t>
      </w:r>
      <w:proofErr w:type="spellStart"/>
      <w:r w:rsidRPr="0059315A">
        <w:rPr>
          <w:rFonts w:ascii="Arial" w:eastAsia="Times New Roman" w:hAnsi="Arial" w:cs="Arial"/>
          <w:lang w:val="en-US"/>
        </w:rPr>
        <w:t>Vértessy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B.G., </w:t>
      </w:r>
      <w:proofErr w:type="spellStart"/>
      <w:r w:rsidRPr="0059315A">
        <w:rPr>
          <w:rFonts w:ascii="Arial" w:eastAsia="Times New Roman" w:hAnsi="Arial" w:cs="Arial"/>
          <w:lang w:val="en-US"/>
        </w:rPr>
        <w:t>Paizs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C., </w:t>
      </w:r>
      <w:proofErr w:type="spellStart"/>
      <w:r w:rsidRPr="0059315A">
        <w:rPr>
          <w:rFonts w:ascii="Arial" w:eastAsia="Times New Roman" w:hAnsi="Arial" w:cs="Arial"/>
          <w:lang w:val="en-US"/>
        </w:rPr>
        <w:t>Poppe</w:t>
      </w:r>
      <w:proofErr w:type="spellEnd"/>
      <w:r w:rsidRPr="0059315A">
        <w:rPr>
          <w:rFonts w:ascii="Arial" w:eastAsia="Times New Roman" w:hAnsi="Arial" w:cs="Arial"/>
          <w:lang w:val="en-US"/>
        </w:rPr>
        <w:t xml:space="preserve"> L.: Immobilized whole-cell transaminase biocatalysts for continuous-flow kinetic resolution of amines, Catalysts (</w:t>
      </w:r>
      <w:r w:rsidRPr="0059315A">
        <w:rPr>
          <w:rFonts w:ascii="Arial" w:eastAsia="Times New Roman" w:hAnsi="Arial" w:cs="Arial"/>
          <w:b/>
          <w:bCs/>
          <w:lang w:val="en-US"/>
        </w:rPr>
        <w:t>2019</w:t>
      </w:r>
      <w:r w:rsidRPr="0059315A">
        <w:rPr>
          <w:rFonts w:ascii="Arial" w:eastAsia="Times New Roman" w:hAnsi="Arial" w:cs="Arial"/>
          <w:lang w:val="en-US"/>
        </w:rPr>
        <w:t>) </w:t>
      </w:r>
      <w:r w:rsidRPr="0059315A">
        <w:rPr>
          <w:rFonts w:ascii="Arial" w:eastAsia="Times New Roman" w:hAnsi="Arial" w:cs="Arial"/>
          <w:i/>
          <w:iCs/>
          <w:lang w:val="en-US"/>
        </w:rPr>
        <w:t>9</w:t>
      </w:r>
      <w:r w:rsidRPr="0059315A">
        <w:rPr>
          <w:rFonts w:ascii="Arial" w:eastAsia="Times New Roman" w:hAnsi="Arial" w:cs="Arial"/>
          <w:lang w:val="en-US"/>
        </w:rPr>
        <w:t xml:space="preserve">(5): 438; </w:t>
      </w:r>
      <w:r w:rsidRPr="0059315A">
        <w:rPr>
          <w:rFonts w:ascii="Arial" w:hAnsi="Arial" w:cs="Arial"/>
          <w:b/>
          <w:bCs/>
          <w:shd w:val="clear" w:color="auto" w:fill="FFFFFF"/>
        </w:rPr>
        <w:t>DOI</w:t>
      </w:r>
      <w:r w:rsidRPr="0059315A">
        <w:rPr>
          <w:rFonts w:ascii="Arial" w:hAnsi="Arial" w:cs="Arial"/>
          <w:shd w:val="clear" w:color="auto" w:fill="FFFFFF"/>
        </w:rPr>
        <w:t>: </w:t>
      </w:r>
      <w:hyperlink r:id="rId6" w:tgtFrame="_blank" w:history="1">
        <w:r w:rsidRPr="0059315A">
          <w:rPr>
            <w:rStyle w:val="Hyperlink"/>
            <w:rFonts w:ascii="Arial" w:hAnsi="Arial" w:cs="Arial"/>
            <w:shd w:val="clear" w:color="auto" w:fill="FFFFFF"/>
          </w:rPr>
          <w:t>10.3390/catal9050438</w:t>
        </w:r>
      </w:hyperlink>
    </w:p>
    <w:p w:rsidR="007F38F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>Nagy-Győr L., Abaházi E., Bódai V., Sátorhelyi P., Erdélyi B., Balogh-Weiser D., Paizs C., Hornyánszky G., Poppe L.: Co-immobilized Whole Cells with ω-Transaminase and Ketoreductase Activities for Continuous-Flow Cascade Reactions, ChemBioChem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19</w:t>
      </w:r>
      <w:r w:rsidRPr="0059315A">
        <w:rPr>
          <w:rFonts w:ascii="Arial" w:hAnsi="Arial" w:cs="Arial"/>
        </w:rPr>
        <w:t xml:space="preserve">(17): 1845-1848; </w:t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7" w:tgtFrame="_blank" w:history="1">
        <w:r w:rsidRPr="0059315A">
          <w:rPr>
            <w:rStyle w:val="Hyperlink"/>
            <w:rFonts w:ascii="Arial" w:hAnsi="Arial" w:cs="Arial"/>
          </w:rPr>
          <w:t>10.1002/cbic.201800286</w:t>
        </w:r>
      </w:hyperlink>
    </w:p>
    <w:p w:rsidR="007F38FA" w:rsidRPr="0059315A" w:rsidRDefault="007F38FA" w:rsidP="007F38FA">
      <w:pPr>
        <w:pStyle w:val="ListParagraph"/>
        <w:numPr>
          <w:ilvl w:val="0"/>
          <w:numId w:val="2"/>
        </w:numPr>
        <w:shd w:val="clear" w:color="auto" w:fill="FFFFFF"/>
        <w:spacing w:after="60" w:line="360" w:lineRule="auto"/>
        <w:jc w:val="both"/>
        <w:rPr>
          <w:rFonts w:ascii="Arial" w:hAnsi="Arial" w:cs="Arial"/>
        </w:rPr>
      </w:pPr>
      <w:r w:rsidRPr="0059315A">
        <w:rPr>
          <w:rFonts w:ascii="Arial" w:hAnsi="Arial" w:cs="Arial"/>
        </w:rPr>
        <w:t xml:space="preserve">Abaházi E., Sátorhelyi P., Erdélyi B., Vértessy B.G., Land H., Paizs C., Berglund P., Poppe L.: Covalently immobilized Trp60Cys mutant of ω-transaminase from </w:t>
      </w:r>
      <w:r w:rsidRPr="0059315A">
        <w:rPr>
          <w:rFonts w:ascii="Arial" w:hAnsi="Arial" w:cs="Arial"/>
          <w:i/>
        </w:rPr>
        <w:t>Chromobacterium violaceum</w:t>
      </w:r>
      <w:r w:rsidRPr="0059315A">
        <w:rPr>
          <w:rFonts w:ascii="Arial" w:hAnsi="Arial" w:cs="Arial"/>
        </w:rPr>
        <w:t xml:space="preserve"> for kinetic resolution of racemic amines in batch and continuous-flow modes, Biochemical Engineering Journal (</w:t>
      </w:r>
      <w:r w:rsidRPr="0059315A">
        <w:rPr>
          <w:rFonts w:ascii="Arial" w:hAnsi="Arial" w:cs="Arial"/>
          <w:b/>
          <w:bCs/>
        </w:rPr>
        <w:t>2018</w:t>
      </w:r>
      <w:r w:rsidRPr="0059315A">
        <w:rPr>
          <w:rFonts w:ascii="Arial" w:hAnsi="Arial" w:cs="Arial"/>
        </w:rPr>
        <w:t>) </w:t>
      </w:r>
      <w:r w:rsidRPr="0059315A">
        <w:rPr>
          <w:rFonts w:ascii="Arial" w:hAnsi="Arial" w:cs="Arial"/>
          <w:i/>
          <w:iCs/>
        </w:rPr>
        <w:t>132</w:t>
      </w:r>
      <w:r w:rsidRPr="0059315A">
        <w:rPr>
          <w:rFonts w:ascii="Arial" w:hAnsi="Arial" w:cs="Arial"/>
        </w:rPr>
        <w:t>: 270-278</w:t>
      </w:r>
      <w:r w:rsidRPr="0059315A">
        <w:rPr>
          <w:rFonts w:ascii="Arial" w:hAnsi="Arial" w:cs="Arial"/>
        </w:rPr>
        <w:br/>
      </w:r>
      <w:r w:rsidRPr="0059315A">
        <w:rPr>
          <w:rFonts w:ascii="Arial" w:hAnsi="Arial" w:cs="Arial"/>
          <w:b/>
          <w:bCs/>
        </w:rPr>
        <w:t>DOI</w:t>
      </w:r>
      <w:r w:rsidRPr="0059315A">
        <w:rPr>
          <w:rFonts w:ascii="Arial" w:hAnsi="Arial" w:cs="Arial"/>
        </w:rPr>
        <w:t>: </w:t>
      </w:r>
      <w:hyperlink r:id="rId8" w:tgtFrame="_blank" w:history="1">
        <w:r w:rsidRPr="0059315A">
          <w:rPr>
            <w:rStyle w:val="Hyperlink"/>
            <w:rFonts w:ascii="Arial" w:hAnsi="Arial" w:cs="Arial"/>
          </w:rPr>
          <w:t>10.1016/j.bej.2018.01.022</w:t>
        </w:r>
      </w:hyperlink>
    </w:p>
    <w:p w:rsidR="007F38FA" w:rsidRDefault="007F38FA" w:rsidP="007F38FA">
      <w:pPr>
        <w:spacing w:after="0" w:line="360" w:lineRule="auto"/>
        <w:jc w:val="both"/>
        <w:rPr>
          <w:rFonts w:ascii="Arial" w:hAnsi="Arial" w:cs="Arial"/>
          <w:lang w:val="pt-BR"/>
        </w:rPr>
      </w:pPr>
    </w:p>
    <w:p w:rsidR="00DE32B7" w:rsidRDefault="00DE32B7" w:rsidP="00B055F0"/>
    <w:sectPr w:rsidR="00DE32B7" w:rsidSect="00785F8A">
      <w:pgSz w:w="11906" w:h="16838"/>
      <w:pgMar w:top="63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E6E6A"/>
    <w:multiLevelType w:val="hybridMultilevel"/>
    <w:tmpl w:val="5C9AD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2E6B"/>
    <w:multiLevelType w:val="hybridMultilevel"/>
    <w:tmpl w:val="3C502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4D"/>
    <w:rsid w:val="00265F4D"/>
    <w:rsid w:val="00785F8A"/>
    <w:rsid w:val="007F38FA"/>
    <w:rsid w:val="00B055F0"/>
    <w:rsid w:val="00D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5F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5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55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16/j.bej.2018.01.02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x.doi.org/10.1002/cbic.2018002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x.doi.org/10.3390/catal905043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2021-03-01T09:40:00Z</dcterms:created>
  <dcterms:modified xsi:type="dcterms:W3CDTF">2021-03-01T09:40:00Z</dcterms:modified>
</cp:coreProperties>
</file>