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5A" w:rsidRDefault="00191406">
      <w:pPr>
        <w:pStyle w:val="Bodytext30"/>
        <w:shd w:val="clear" w:color="auto" w:fill="auto"/>
        <w:spacing w:before="0"/>
        <w:ind w:left="5740"/>
      </w:pPr>
      <w:r>
        <w:t xml:space="preserve">                                           </w:t>
      </w:r>
    </w:p>
    <w:p w:rsidR="00F068C3" w:rsidRDefault="0077095A">
      <w:pPr>
        <w:pStyle w:val="Bodytext30"/>
        <w:shd w:val="clear" w:color="auto" w:fill="auto"/>
        <w:spacing w:before="0"/>
        <w:ind w:left="5740"/>
      </w:pPr>
      <w:r>
        <w:t xml:space="preserve">                                                 Addendum no. 1</w:t>
      </w:r>
    </w:p>
    <w:p w:rsidR="0077095A" w:rsidRDefault="0077095A" w:rsidP="00191406">
      <w:pPr>
        <w:pStyle w:val="Heading20"/>
        <w:keepNext/>
        <w:keepLines/>
        <w:shd w:val="clear" w:color="auto" w:fill="auto"/>
        <w:spacing w:before="0" w:after="536"/>
      </w:pPr>
      <w:bookmarkStart w:id="0" w:name="bookmark1"/>
    </w:p>
    <w:p w:rsidR="00F068C3" w:rsidRDefault="00817258" w:rsidP="00191406">
      <w:pPr>
        <w:pStyle w:val="Heading20"/>
        <w:keepNext/>
        <w:keepLines/>
        <w:shd w:val="clear" w:color="auto" w:fill="auto"/>
        <w:spacing w:before="0" w:after="536"/>
      </w:pPr>
      <w:r>
        <w:t>CONSENT TO THE PROCESSING OF PERSONAL DATA, PURSUANT TO (EU) REGULATION 2016 / 679</w:t>
      </w:r>
      <w:bookmarkEnd w:id="0"/>
    </w:p>
    <w:p w:rsidR="002205A7" w:rsidRDefault="00817258" w:rsidP="0077095A">
      <w:pPr>
        <w:pStyle w:val="Bodytext20"/>
        <w:shd w:val="clear" w:color="auto" w:fill="auto"/>
        <w:tabs>
          <w:tab w:val="left" w:leader="dot" w:pos="6597"/>
        </w:tabs>
        <w:spacing w:after="0" w:line="240" w:lineRule="auto"/>
        <w:jc w:val="both"/>
        <w:rPr>
          <w:rFonts w:ascii="Palatino Linotype" w:hAnsi="Palatino Linotype"/>
        </w:rPr>
      </w:pPr>
      <w:r>
        <w:rPr>
          <w:rFonts w:ascii="Palatino Linotype" w:hAnsi="Palatino Linotype"/>
        </w:rPr>
        <w:t>I, the undersigned, ………………………………………………</w:t>
      </w:r>
      <w:r w:rsidR="00164357">
        <w:rPr>
          <w:rFonts w:ascii="Palatino Linotype" w:hAnsi="Palatino Linotype"/>
        </w:rPr>
        <w:t xml:space="preserve">…... </w:t>
      </w:r>
      <w:r>
        <w:rPr>
          <w:rFonts w:ascii="Palatino Linotype" w:hAnsi="Palatino Linotype"/>
        </w:rPr>
        <w:t>resident in ………………</w:t>
      </w:r>
    </w:p>
    <w:p w:rsidR="0077095A" w:rsidRPr="0077095A" w:rsidRDefault="002205A7" w:rsidP="0077095A">
      <w:pPr>
        <w:pStyle w:val="Bodytext20"/>
        <w:shd w:val="clear" w:color="auto" w:fill="auto"/>
        <w:tabs>
          <w:tab w:val="left" w:leader="dot" w:pos="6597"/>
        </w:tabs>
        <w:spacing w:after="0" w:line="240" w:lineRule="auto"/>
        <w:jc w:val="both"/>
        <w:rPr>
          <w:rFonts w:ascii="Palatino Linotype" w:hAnsi="Palatino Linotype"/>
        </w:rPr>
      </w:pPr>
      <w:r>
        <w:rPr>
          <w:rFonts w:ascii="Palatino Linotype" w:hAnsi="Palatino Linotype"/>
        </w:rPr>
        <w:t>…………..</w:t>
      </w:r>
      <w:r w:rsidR="00164357">
        <w:rPr>
          <w:rFonts w:ascii="Palatino Linotype" w:hAnsi="Palatino Linotype"/>
        </w:rPr>
        <w:t xml:space="preserve"> </w:t>
      </w:r>
      <w:r>
        <w:rPr>
          <w:rFonts w:ascii="Palatino Linotype" w:hAnsi="Palatino Linotype"/>
        </w:rPr>
        <w:t>born on ………………. in (city)</w:t>
      </w:r>
      <w:r w:rsidR="00164357">
        <w:rPr>
          <w:rFonts w:ascii="Palatino Linotype" w:hAnsi="Palatino Linotype"/>
        </w:rPr>
        <w:t xml:space="preserve"> </w:t>
      </w:r>
      <w:r>
        <w:rPr>
          <w:rFonts w:ascii="Palatino Linotype" w:hAnsi="Palatino Linotype"/>
        </w:rPr>
        <w:t>……….</w:t>
      </w:r>
      <w:r w:rsidR="00164357">
        <w:rPr>
          <w:rFonts w:ascii="Palatino Linotype" w:hAnsi="Palatino Linotype"/>
        </w:rPr>
        <w:t xml:space="preserve"> </w:t>
      </w:r>
      <w:r>
        <w:rPr>
          <w:rFonts w:ascii="Palatino Linotype" w:hAnsi="Palatino Linotype"/>
        </w:rPr>
        <w:t>county ……………….</w:t>
      </w:r>
    </w:p>
    <w:p w:rsidR="00F068C3" w:rsidRPr="0077095A" w:rsidRDefault="0077095A" w:rsidP="0077095A">
      <w:pPr>
        <w:pStyle w:val="Bodytext20"/>
        <w:shd w:val="clear" w:color="auto" w:fill="auto"/>
        <w:tabs>
          <w:tab w:val="left" w:leader="dot" w:pos="6597"/>
        </w:tabs>
        <w:spacing w:after="0" w:line="240" w:lineRule="auto"/>
        <w:jc w:val="both"/>
        <w:rPr>
          <w:rFonts w:ascii="Palatino Linotype" w:hAnsi="Palatino Linotype"/>
        </w:rPr>
      </w:pPr>
      <w:r>
        <w:rPr>
          <w:rFonts w:ascii="Palatino Linotype" w:hAnsi="Palatino Linotype"/>
        </w:rPr>
        <w:t>……………</w:t>
      </w:r>
      <w:r w:rsidR="00164357">
        <w:rPr>
          <w:rFonts w:ascii="Palatino Linotype" w:hAnsi="Palatino Linotype"/>
        </w:rPr>
        <w:t xml:space="preserve"> </w:t>
      </w:r>
      <w:r>
        <w:rPr>
          <w:rFonts w:ascii="Palatino Linotype" w:hAnsi="Palatino Linotype"/>
        </w:rPr>
        <w:t xml:space="preserve">holder of ID document serial no. </w:t>
      </w:r>
      <w:r w:rsidR="00164357">
        <w:rPr>
          <w:rFonts w:ascii="Palatino Linotype" w:hAnsi="Palatino Linotype"/>
        </w:rPr>
        <w:t>…...</w:t>
      </w:r>
      <w:r>
        <w:rPr>
          <w:rFonts w:ascii="Palatino Linotype" w:hAnsi="Palatino Linotype"/>
        </w:rPr>
        <w:t>… issued by………</w:t>
      </w:r>
      <w:r w:rsidR="00164357">
        <w:rPr>
          <w:rFonts w:ascii="Palatino Linotype" w:hAnsi="Palatino Linotype"/>
        </w:rPr>
        <w:t>…... on (date) …</w:t>
      </w:r>
      <w:r>
        <w:rPr>
          <w:rFonts w:ascii="Palatino Linotype" w:hAnsi="Palatino Linotype"/>
        </w:rPr>
        <w:t>…….</w:t>
      </w:r>
    </w:p>
    <w:p w:rsidR="00F068C3" w:rsidRPr="0077095A" w:rsidRDefault="00817258" w:rsidP="00164357">
      <w:pPr>
        <w:pStyle w:val="Bodytext20"/>
        <w:shd w:val="clear" w:color="auto" w:fill="auto"/>
        <w:tabs>
          <w:tab w:val="left" w:leader="dot" w:pos="307"/>
          <w:tab w:val="left" w:leader="dot" w:pos="2270"/>
          <w:tab w:val="left" w:leader="dot" w:pos="9067"/>
        </w:tabs>
        <w:spacing w:after="0" w:line="240" w:lineRule="auto"/>
        <w:jc w:val="both"/>
        <w:rPr>
          <w:rFonts w:ascii="Palatino Linotype" w:hAnsi="Palatino Linotype"/>
        </w:rPr>
      </w:pPr>
      <w:r>
        <w:rPr>
          <w:rFonts w:ascii="Palatino Linotype" w:hAnsi="Palatino Linotype"/>
        </w:rPr>
        <w:t>National Identification Number</w:t>
      </w:r>
      <w:r w:rsidR="00164357">
        <w:rPr>
          <w:rFonts w:ascii="Palatino Linotype" w:hAnsi="Palatino Linotype"/>
        </w:rPr>
        <w:t xml:space="preserve"> ………………… </w:t>
      </w:r>
      <w:r>
        <w:rPr>
          <w:rFonts w:ascii="Palatino Linotype" w:hAnsi="Palatino Linotype"/>
        </w:rPr>
        <w:t>applying for the advancement selection competition from</w:t>
      </w:r>
      <w:r w:rsidR="00164357">
        <w:rPr>
          <w:rFonts w:ascii="Palatino Linotype" w:hAnsi="Palatino Linotype"/>
        </w:rPr>
        <w:t xml:space="preserve"> the position of ………………………………….…</w:t>
      </w:r>
      <w:r>
        <w:rPr>
          <w:rFonts w:ascii="Palatino Linotype" w:hAnsi="Palatino Linotype"/>
        </w:rPr>
        <w:t>to</w:t>
      </w:r>
      <w:r>
        <w:rPr>
          <w:rFonts w:ascii="Palatino Linotype" w:hAnsi="Palatino Linotype"/>
        </w:rPr>
        <w:tab/>
      </w:r>
      <w:r w:rsidR="00164357">
        <w:rPr>
          <w:rFonts w:ascii="Palatino Linotype" w:hAnsi="Palatino Linotype"/>
        </w:rPr>
        <w:t>…………………..</w:t>
      </w:r>
      <w:r>
        <w:rPr>
          <w:rFonts w:ascii="Palatino Linotype" w:hAnsi="Palatino Linotype"/>
        </w:rPr>
        <w:t>…</w:t>
      </w:r>
      <w:r w:rsidR="00164357">
        <w:rPr>
          <w:rFonts w:ascii="Palatino Linotype" w:hAnsi="Palatino Linotype"/>
        </w:rPr>
        <w:t>…, organised</w:t>
      </w:r>
      <w:r>
        <w:rPr>
          <w:rFonts w:ascii="Palatino Linotype" w:hAnsi="Palatino Linotype"/>
        </w:rPr>
        <w:t xml:space="preserve"> by …………………………………………………………declare that I hereby consent to the collection and processing of my personal data by the Ministry of Education and Research - RDI, with its secondary office in Bucharest, No. .... Mendeleev Street, District 1, including their eventual dissemination to other entities (CNATDCU, etc.).</w:t>
      </w:r>
    </w:p>
    <w:p w:rsidR="00F068C3" w:rsidRPr="0077095A" w:rsidRDefault="00817258" w:rsidP="0077095A">
      <w:pPr>
        <w:pStyle w:val="Bodytext20"/>
        <w:shd w:val="clear" w:color="auto" w:fill="auto"/>
        <w:spacing w:after="56" w:line="240" w:lineRule="auto"/>
        <w:ind w:firstLine="820"/>
        <w:jc w:val="both"/>
        <w:rPr>
          <w:rFonts w:ascii="Palatino Linotype" w:hAnsi="Palatino Linotype"/>
        </w:rPr>
      </w:pPr>
      <w:r>
        <w:rPr>
          <w:rFonts w:ascii="Palatino Linotype" w:hAnsi="Palatino Linotype"/>
        </w:rPr>
        <w:t>I have been duly informed of the provisions of Regulation No 679/27 April 2016 on the protection of natural persons in relation to the processing of personal data and on the free movement of such data, repealing Directive 95/46/EC (General Data Protection Regulation) adopted by the European Parliament and the Council of the European Union respectively:</w:t>
      </w:r>
    </w:p>
    <w:p w:rsidR="00F068C3" w:rsidRPr="0077095A" w:rsidRDefault="00164357" w:rsidP="0077095A">
      <w:pPr>
        <w:pStyle w:val="Bodytext20"/>
        <w:shd w:val="clear" w:color="auto" w:fill="auto"/>
        <w:spacing w:after="60" w:line="240" w:lineRule="auto"/>
        <w:ind w:firstLine="820"/>
        <w:jc w:val="both"/>
        <w:rPr>
          <w:rFonts w:ascii="Palatino Linotype" w:hAnsi="Palatino Linotype"/>
        </w:rPr>
      </w:pPr>
      <w:r>
        <w:rPr>
          <w:rStyle w:val="Bodytext2Bold"/>
          <w:rFonts w:ascii="Palatino Linotype" w:hAnsi="Palatino Linotype"/>
        </w:rPr>
        <w:t>The right to</w:t>
      </w:r>
      <w:r w:rsidR="00817258">
        <w:rPr>
          <w:rStyle w:val="Bodytext2Bold"/>
          <w:rFonts w:ascii="Palatino Linotype" w:hAnsi="Palatino Linotype"/>
        </w:rPr>
        <w:t xml:space="preserve"> access </w:t>
      </w:r>
      <w:r w:rsidR="00817258">
        <w:rPr>
          <w:rFonts w:ascii="Palatino Linotype" w:hAnsi="Palatino Linotype"/>
        </w:rPr>
        <w:t>whereby an individual has the right to seek confirmation from the Ministry of Education and Research as to whether or not personal data is being processed and, if so, the right to have access to that data and information on how it is being processed.</w:t>
      </w:r>
    </w:p>
    <w:p w:rsidR="00F068C3" w:rsidRPr="0077095A" w:rsidRDefault="00817258" w:rsidP="0077095A">
      <w:pPr>
        <w:pStyle w:val="Bodytext20"/>
        <w:shd w:val="clear" w:color="auto" w:fill="auto"/>
        <w:spacing w:after="122" w:line="240" w:lineRule="auto"/>
        <w:ind w:firstLine="820"/>
        <w:jc w:val="both"/>
        <w:rPr>
          <w:rFonts w:ascii="Palatino Linotype" w:hAnsi="Palatino Linotype"/>
        </w:rPr>
      </w:pPr>
      <w:r>
        <w:rPr>
          <w:rStyle w:val="Bodytext2Bold"/>
          <w:rFonts w:ascii="Palatino Linotype" w:hAnsi="Palatino Linotype"/>
        </w:rPr>
        <w:t>The r</w:t>
      </w:r>
      <w:r w:rsidR="00164357">
        <w:rPr>
          <w:rStyle w:val="Bodytext2Bold"/>
          <w:rFonts w:ascii="Palatino Linotype" w:hAnsi="Palatino Linotype"/>
        </w:rPr>
        <w:t>ight to data portability</w:t>
      </w:r>
      <w:r>
        <w:rPr>
          <w:rFonts w:ascii="Palatino Linotype" w:hAnsi="Palatino Linotype"/>
        </w:rPr>
        <w:t xml:space="preserve"> gives individuals the right to receive personal data they have provided to a controller in a structured, commonly used and machine readable format and the right to request that a controller transmits this data directly to another controller if technically feasible.</w:t>
      </w:r>
    </w:p>
    <w:p w:rsidR="00F068C3" w:rsidRPr="0077095A" w:rsidRDefault="00164357" w:rsidP="0077095A">
      <w:pPr>
        <w:pStyle w:val="Bodytext20"/>
        <w:shd w:val="clear" w:color="auto" w:fill="auto"/>
        <w:spacing w:after="61" w:line="240" w:lineRule="auto"/>
        <w:ind w:firstLine="820"/>
        <w:jc w:val="both"/>
        <w:rPr>
          <w:rFonts w:ascii="Palatino Linotype" w:hAnsi="Palatino Linotype"/>
        </w:rPr>
      </w:pPr>
      <w:r>
        <w:rPr>
          <w:rStyle w:val="Bodytext2Bold"/>
          <w:rFonts w:ascii="Palatino Linotype" w:hAnsi="Palatino Linotype"/>
        </w:rPr>
        <w:t>The right to object</w:t>
      </w:r>
      <w:r w:rsidR="00817258">
        <w:rPr>
          <w:rStyle w:val="Bodytext2Bold"/>
          <w:rFonts w:ascii="Palatino Linotype" w:hAnsi="Palatino Linotype"/>
        </w:rPr>
        <w:t xml:space="preserve"> </w:t>
      </w:r>
      <w:r w:rsidR="00817258">
        <w:rPr>
          <w:rFonts w:ascii="Palatino Linotype" w:hAnsi="Palatino Linotype"/>
        </w:rPr>
        <w:t>means the right to object to the processing of personal data.</w:t>
      </w:r>
    </w:p>
    <w:p w:rsidR="00F068C3" w:rsidRPr="0077095A" w:rsidRDefault="00817258" w:rsidP="0077095A">
      <w:pPr>
        <w:pStyle w:val="Bodytext20"/>
        <w:shd w:val="clear" w:color="auto" w:fill="auto"/>
        <w:spacing w:after="0" w:line="240" w:lineRule="auto"/>
        <w:ind w:firstLine="820"/>
        <w:jc w:val="both"/>
        <w:rPr>
          <w:rFonts w:ascii="Palatino Linotype" w:hAnsi="Palatino Linotype"/>
        </w:rPr>
      </w:pPr>
      <w:r>
        <w:rPr>
          <w:rStyle w:val="Bodytext2Bold"/>
          <w:rFonts w:ascii="Palatino Linotype" w:hAnsi="Palatino Linotype"/>
        </w:rPr>
        <w:t xml:space="preserve">The right to rectification </w:t>
      </w:r>
      <w:r>
        <w:rPr>
          <w:rFonts w:ascii="Palatino Linotype" w:hAnsi="Palatino Linotype"/>
        </w:rPr>
        <w:t>means that if your personal data is inaccurate, you have the right to have the data rectified, by the controller, without undue delay.</w:t>
      </w:r>
    </w:p>
    <w:p w:rsidR="00F068C3" w:rsidRPr="0077095A" w:rsidRDefault="00817258" w:rsidP="0077095A">
      <w:pPr>
        <w:pStyle w:val="Bodytext20"/>
        <w:shd w:val="clear" w:color="auto" w:fill="auto"/>
        <w:spacing w:after="60" w:line="240" w:lineRule="auto"/>
        <w:ind w:firstLine="820"/>
        <w:jc w:val="both"/>
        <w:rPr>
          <w:rFonts w:ascii="Palatino Linotype" w:hAnsi="Palatino Linotype"/>
        </w:rPr>
      </w:pPr>
      <w:r>
        <w:rPr>
          <w:rStyle w:val="Bodytext2Bold"/>
          <w:rFonts w:ascii="Palatino Linotype" w:hAnsi="Palatino Linotype"/>
        </w:rPr>
        <w:t xml:space="preserve">The right to erasure of data (‘right to be forgotten’) </w:t>
      </w:r>
      <w:r>
        <w:rPr>
          <w:rFonts w:ascii="Palatino Linotype" w:hAnsi="Palatino Linotype"/>
        </w:rPr>
        <w:t>meaning the right to request that personal data be deleted, without undue delay, if one of the following circumstances apply: they are no longer necessary for the purposes for which they</w:t>
      </w:r>
      <w:r w:rsidR="00164357">
        <w:rPr>
          <w:rFonts w:ascii="Palatino Linotype" w:hAnsi="Palatino Linotype"/>
        </w:rPr>
        <w:t xml:space="preserve"> were collected or processed; the data subject </w:t>
      </w:r>
      <w:r>
        <w:rPr>
          <w:rFonts w:ascii="Palatino Linotype" w:hAnsi="Palatino Linotype"/>
        </w:rPr>
        <w:t>withdraw</w:t>
      </w:r>
      <w:r w:rsidR="00164357">
        <w:rPr>
          <w:rFonts w:ascii="Palatino Linotype" w:hAnsi="Palatino Linotype"/>
        </w:rPr>
        <w:t>s</w:t>
      </w:r>
      <w:r>
        <w:rPr>
          <w:rFonts w:ascii="Palatino Linotype" w:hAnsi="Palatino Linotype"/>
        </w:rPr>
        <w:t xml:space="preserve"> </w:t>
      </w:r>
      <w:r w:rsidR="00164357">
        <w:rPr>
          <w:rFonts w:ascii="Palatino Linotype" w:hAnsi="Palatino Linotype"/>
        </w:rPr>
        <w:t>their</w:t>
      </w:r>
      <w:r>
        <w:rPr>
          <w:rFonts w:ascii="Palatino Linotype" w:hAnsi="Palatino Linotype"/>
        </w:rPr>
        <w:t xml:space="preserve"> consent and there is no other legal basis for the processing.</w:t>
      </w:r>
    </w:p>
    <w:p w:rsidR="00F068C3" w:rsidRPr="0077095A" w:rsidRDefault="00817258" w:rsidP="0077095A">
      <w:pPr>
        <w:pStyle w:val="Bodytext20"/>
        <w:shd w:val="clear" w:color="auto" w:fill="auto"/>
        <w:spacing w:after="64" w:line="240" w:lineRule="auto"/>
        <w:ind w:firstLine="820"/>
        <w:jc w:val="both"/>
        <w:rPr>
          <w:rFonts w:ascii="Palatino Linotype" w:hAnsi="Palatino Linotype"/>
        </w:rPr>
      </w:pPr>
      <w:r>
        <w:rPr>
          <w:rStyle w:val="Bodytext2Bold"/>
          <w:rFonts w:ascii="Palatino Linotype" w:hAnsi="Palatino Linotype"/>
        </w:rPr>
        <w:t xml:space="preserve">The right to restrict processing </w:t>
      </w:r>
      <w:r>
        <w:rPr>
          <w:rFonts w:ascii="Palatino Linotype" w:hAnsi="Palatino Linotype"/>
        </w:rPr>
        <w:t>grants data subjects the right to restrict processing when the data subject disputes the accuracy of the data, for a period that allows the institution to verify its accuracy; the processing is unlawful and the data subject requests the personal data is restricted rather than deleted.</w:t>
      </w:r>
    </w:p>
    <w:p w:rsidR="00191406" w:rsidRPr="0077095A" w:rsidRDefault="00817258" w:rsidP="0077095A">
      <w:pPr>
        <w:pStyle w:val="Bodytext20"/>
        <w:shd w:val="clear" w:color="auto" w:fill="auto"/>
        <w:spacing w:after="0" w:line="240" w:lineRule="auto"/>
        <w:jc w:val="both"/>
        <w:rPr>
          <w:rFonts w:ascii="Palatino Linotype" w:hAnsi="Palatino Linotype"/>
        </w:rPr>
      </w:pPr>
      <w:r>
        <w:rPr>
          <w:rFonts w:ascii="Palatino Linotype" w:hAnsi="Palatino Linotype"/>
        </w:rPr>
        <w:t xml:space="preserve">I have been informed that my refusal to provide the personal data requested by the Ministry of Education and Research prevents the </w:t>
      </w:r>
      <w:r w:rsidR="00164357">
        <w:rPr>
          <w:rFonts w:ascii="Palatino Linotype" w:hAnsi="Palatino Linotype"/>
        </w:rPr>
        <w:t>initiation</w:t>
      </w:r>
      <w:bookmarkStart w:id="1" w:name="_GoBack"/>
      <w:bookmarkEnd w:id="1"/>
      <w:r>
        <w:rPr>
          <w:rFonts w:ascii="Palatino Linotype" w:hAnsi="Palatino Linotype"/>
        </w:rPr>
        <w:t xml:space="preserve"> of advancement proceedings and is not attributable to the aforementioned institution. </w:t>
      </w:r>
    </w:p>
    <w:p w:rsidR="00191406" w:rsidRPr="0077095A" w:rsidRDefault="00191406" w:rsidP="0077095A">
      <w:pPr>
        <w:pStyle w:val="Bodytext20"/>
        <w:shd w:val="clear" w:color="auto" w:fill="auto"/>
        <w:spacing w:after="0" w:line="240" w:lineRule="auto"/>
        <w:jc w:val="both"/>
        <w:rPr>
          <w:rFonts w:ascii="Palatino Linotype" w:hAnsi="Palatino Linotype"/>
        </w:rPr>
      </w:pPr>
      <w:r>
        <w:rPr>
          <w:rFonts w:ascii="Palatino Linotype" w:hAnsi="Palatino Linotype"/>
        </w:rPr>
        <w:t>If the personal data provided is incorrect or changes (change of address, marital status, email address, etc.), I undertake to inform the Ministry of Education and Research in writing in due time.</w:t>
      </w:r>
    </w:p>
    <w:p w:rsidR="00191406" w:rsidRPr="0077095A" w:rsidRDefault="00191406" w:rsidP="0077095A">
      <w:pPr>
        <w:pStyle w:val="Bodytext20"/>
        <w:shd w:val="clear" w:color="auto" w:fill="auto"/>
        <w:spacing w:after="0" w:line="240" w:lineRule="auto"/>
        <w:jc w:val="both"/>
        <w:rPr>
          <w:rFonts w:ascii="Palatino Linotype" w:hAnsi="Palatino Linotype"/>
        </w:rPr>
      </w:pPr>
      <w:r>
        <w:rPr>
          <w:rFonts w:ascii="Palatino Linotype" w:hAnsi="Palatino Linotype"/>
        </w:rPr>
        <w:t xml:space="preserve">I have also been informed that this data will be processed confidentially in accordance with the provisions of European Parliament and Council Regulation (EU) 2016/679 of 27 April 2016 on the protection of natural persons in relation to the processing of personal data and on the free movement of such data. </w:t>
      </w:r>
    </w:p>
    <w:p w:rsidR="00F068C3" w:rsidRDefault="00191406" w:rsidP="009D0771">
      <w:pPr>
        <w:pStyle w:val="Bodytext20"/>
        <w:shd w:val="clear" w:color="auto" w:fill="auto"/>
        <w:spacing w:after="0" w:line="307" w:lineRule="exact"/>
        <w:jc w:val="both"/>
      </w:pPr>
      <w:r>
        <w:rPr>
          <w:rFonts w:ascii="Palatino Linotype" w:hAnsi="Palatino Linotype"/>
        </w:rPr>
        <w:t xml:space="preserve">                      </w:t>
      </w:r>
      <w:r w:rsidR="00164357">
        <w:rPr>
          <w:rFonts w:ascii="Palatino Linotype" w:hAnsi="Palatino Linotype"/>
        </w:rPr>
        <w:t xml:space="preserve">               Date</w:t>
      </w:r>
      <w:r w:rsidR="00164357">
        <w:rPr>
          <w:rFonts w:ascii="Palatino Linotype" w:hAnsi="Palatino Linotype"/>
        </w:rPr>
        <w:tab/>
      </w:r>
      <w:r w:rsidR="00164357">
        <w:rPr>
          <w:rFonts w:ascii="Palatino Linotype" w:hAnsi="Palatino Linotype"/>
        </w:rPr>
        <w:tab/>
      </w:r>
      <w:r w:rsidR="00164357">
        <w:rPr>
          <w:rFonts w:ascii="Palatino Linotype" w:hAnsi="Palatino Linotype"/>
        </w:rPr>
        <w:tab/>
      </w:r>
      <w:r w:rsidR="00164357">
        <w:rPr>
          <w:rFonts w:ascii="Palatino Linotype" w:hAnsi="Palatino Linotype"/>
        </w:rPr>
        <w:tab/>
      </w:r>
      <w:r w:rsidR="00164357">
        <w:rPr>
          <w:rFonts w:ascii="Palatino Linotype" w:hAnsi="Palatino Linotype"/>
        </w:rPr>
        <w:tab/>
      </w:r>
      <w:r w:rsidR="00164357">
        <w:rPr>
          <w:rFonts w:ascii="Palatino Linotype" w:hAnsi="Palatino Linotype"/>
        </w:rPr>
        <w:tab/>
      </w:r>
      <w:r w:rsidR="00164357">
        <w:rPr>
          <w:rFonts w:ascii="Palatino Linotype" w:hAnsi="Palatino Linotype"/>
        </w:rPr>
        <w:tab/>
      </w:r>
      <w:r w:rsidR="00164357">
        <w:rPr>
          <w:rFonts w:ascii="Palatino Linotype" w:hAnsi="Palatino Linotype"/>
        </w:rPr>
        <w:tab/>
      </w:r>
      <w:r>
        <w:rPr>
          <w:rFonts w:ascii="Palatino Linotype" w:hAnsi="Palatino Linotype"/>
        </w:rPr>
        <w:t>Signed</w:t>
      </w:r>
    </w:p>
    <w:p w:rsidR="00F068C3" w:rsidRDefault="00F068C3">
      <w:pPr>
        <w:pStyle w:val="Bodytext50"/>
        <w:shd w:val="clear" w:color="auto" w:fill="auto"/>
        <w:spacing w:line="80" w:lineRule="exact"/>
        <w:ind w:left="1280"/>
      </w:pPr>
    </w:p>
    <w:sectPr w:rsidR="00F068C3">
      <w:pgSz w:w="11900" w:h="16840"/>
      <w:pgMar w:top="529" w:right="462" w:bottom="230" w:left="22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ED" w:rsidRDefault="00D878ED">
      <w:r>
        <w:separator/>
      </w:r>
    </w:p>
  </w:endnote>
  <w:endnote w:type="continuationSeparator" w:id="0">
    <w:p w:rsidR="00D878ED" w:rsidRDefault="00D8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ED" w:rsidRDefault="00D878ED"/>
  </w:footnote>
  <w:footnote w:type="continuationSeparator" w:id="0">
    <w:p w:rsidR="00D878ED" w:rsidRDefault="00D878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C3"/>
    <w:rsid w:val="00164357"/>
    <w:rsid w:val="00191406"/>
    <w:rsid w:val="001F21B3"/>
    <w:rsid w:val="002205A7"/>
    <w:rsid w:val="00427EB1"/>
    <w:rsid w:val="0056441E"/>
    <w:rsid w:val="005756E9"/>
    <w:rsid w:val="00637255"/>
    <w:rsid w:val="0077095A"/>
    <w:rsid w:val="007C337C"/>
    <w:rsid w:val="00817258"/>
    <w:rsid w:val="009D0771"/>
    <w:rsid w:val="00A3547E"/>
    <w:rsid w:val="00D743F6"/>
    <w:rsid w:val="00D878ED"/>
    <w:rsid w:val="00DD1CCC"/>
    <w:rsid w:val="00F068C3"/>
    <w:rsid w:val="00FC75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8523"/>
  <w15:docId w15:val="{BC483C2B-4B26-4CAD-9AE6-8DC75719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 Antiqua" w:eastAsia="Book Antiqua" w:hAnsi="Book Antiqua" w:cs="Book Antiqua"/>
      <w:b w:val="0"/>
      <w:bCs w:val="0"/>
      <w:i w:val="0"/>
      <w:iCs w:val="0"/>
      <w:smallCaps w:val="0"/>
      <w:strike w:val="0"/>
      <w:spacing w:val="-10"/>
      <w:sz w:val="22"/>
      <w:szCs w:val="22"/>
      <w:u w:val="none"/>
    </w:rPr>
  </w:style>
  <w:style w:type="character" w:customStyle="1" w:styleId="Heading1">
    <w:name w:val="Heading #1_"/>
    <w:basedOn w:val="DefaultParagraphFont"/>
    <w:link w:val="Heading10"/>
    <w:rPr>
      <w:rFonts w:ascii="Book Antiqua" w:eastAsia="Book Antiqua" w:hAnsi="Book Antiqua" w:cs="Book Antiqua"/>
      <w:b/>
      <w:bCs/>
      <w:i w:val="0"/>
      <w:iCs w:val="0"/>
      <w:smallCaps w:val="0"/>
      <w:strike w:val="0"/>
      <w:spacing w:val="-10"/>
      <w:sz w:val="24"/>
      <w:szCs w:val="24"/>
      <w:u w:val="none"/>
    </w:rPr>
  </w:style>
  <w:style w:type="character" w:customStyle="1" w:styleId="Bodytext2">
    <w:name w:val="Body text (2)_"/>
    <w:basedOn w:val="DefaultParagraphFont"/>
    <w:link w:val="Bodytext20"/>
    <w:rPr>
      <w:rFonts w:ascii="Book Antiqua" w:eastAsia="Book Antiqua" w:hAnsi="Book Antiqua" w:cs="Book Antiqua"/>
      <w:b w:val="0"/>
      <w:bCs w:val="0"/>
      <w:i w:val="0"/>
      <w:iCs w:val="0"/>
      <w:smallCaps w:val="0"/>
      <w:strike w:val="0"/>
      <w:spacing w:val="-10"/>
      <w:sz w:val="22"/>
      <w:szCs w:val="22"/>
      <w:u w:val="none"/>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z w:val="16"/>
      <w:szCs w:val="16"/>
      <w:u w:val="none"/>
    </w:rPr>
  </w:style>
  <w:style w:type="character" w:customStyle="1" w:styleId="Heading2">
    <w:name w:val="Heading #2_"/>
    <w:basedOn w:val="DefaultParagraphFont"/>
    <w:link w:val="Heading20"/>
    <w:rPr>
      <w:rFonts w:ascii="Book Antiqua" w:eastAsia="Book Antiqua" w:hAnsi="Book Antiqua" w:cs="Book Antiqua"/>
      <w:b/>
      <w:bCs/>
      <w:i w:val="0"/>
      <w:iCs w:val="0"/>
      <w:smallCaps w:val="0"/>
      <w:strike w:val="0"/>
      <w:spacing w:val="-10"/>
      <w:sz w:val="22"/>
      <w:szCs w:val="22"/>
      <w:u w:val="none"/>
    </w:rPr>
  </w:style>
  <w:style w:type="character" w:customStyle="1" w:styleId="Bodytext2Bold">
    <w:name w:val="Body text (2) + Bold"/>
    <w:basedOn w:val="Bodytext2"/>
    <w:rPr>
      <w:rFonts w:ascii="Book Antiqua" w:eastAsia="Book Antiqua" w:hAnsi="Book Antiqua" w:cs="Book Antiqua"/>
      <w:b/>
      <w:bCs/>
      <w:i w:val="0"/>
      <w:iCs w:val="0"/>
      <w:smallCaps w:val="0"/>
      <w:strike w:val="0"/>
      <w:color w:val="000000"/>
      <w:spacing w:val="-10"/>
      <w:w w:val="100"/>
      <w:position w:val="0"/>
      <w:sz w:val="22"/>
      <w:szCs w:val="22"/>
      <w:u w:val="none"/>
      <w:lang w:val="en-GB" w:eastAsia="ro-RO" w:bidi="ro-RO"/>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z w:val="14"/>
      <w:szCs w:val="14"/>
      <w:u w:val="none"/>
    </w:rPr>
  </w:style>
  <w:style w:type="character" w:customStyle="1" w:styleId="Bodytext5">
    <w:name w:val="Body text (5)_"/>
    <w:basedOn w:val="DefaultParagraphFont"/>
    <w:link w:val="Bodytext50"/>
    <w:rPr>
      <w:rFonts w:ascii="Consolas" w:eastAsia="Consolas" w:hAnsi="Consolas" w:cs="Consolas"/>
      <w:b w:val="0"/>
      <w:bCs w:val="0"/>
      <w:i/>
      <w:iCs/>
      <w:smallCaps w:val="0"/>
      <w:strike w:val="0"/>
      <w:sz w:val="8"/>
      <w:szCs w:val="8"/>
      <w:u w:val="none"/>
    </w:rPr>
  </w:style>
  <w:style w:type="character" w:customStyle="1" w:styleId="Bodytext6">
    <w:name w:val="Body text (6)_"/>
    <w:basedOn w:val="DefaultParagraphFont"/>
    <w:link w:val="Bodytext60"/>
    <w:rPr>
      <w:rFonts w:ascii="Book Antiqua" w:eastAsia="Book Antiqua" w:hAnsi="Book Antiqua" w:cs="Book Antiqua"/>
      <w:b/>
      <w:bCs/>
      <w:i w:val="0"/>
      <w:iCs w:val="0"/>
      <w:smallCaps w:val="0"/>
      <w:strike w:val="0"/>
      <w:spacing w:val="0"/>
      <w:sz w:val="21"/>
      <w:szCs w:val="21"/>
      <w:u w:val="none"/>
    </w:rPr>
  </w:style>
  <w:style w:type="character" w:customStyle="1" w:styleId="Bodytext7">
    <w:name w:val="Body text (7)_"/>
    <w:basedOn w:val="DefaultParagraphFont"/>
    <w:link w:val="Bodytext70"/>
    <w:rPr>
      <w:rFonts w:ascii="Book Antiqua" w:eastAsia="Book Antiqua" w:hAnsi="Book Antiqua" w:cs="Book Antiqua"/>
      <w:b w:val="0"/>
      <w:bCs w:val="0"/>
      <w:i w:val="0"/>
      <w:iCs w:val="0"/>
      <w:smallCaps w:val="0"/>
      <w:strike w:val="0"/>
      <w:sz w:val="14"/>
      <w:szCs w:val="14"/>
      <w:u w:val="none"/>
    </w:rPr>
  </w:style>
  <w:style w:type="paragraph" w:customStyle="1" w:styleId="Bodytext20">
    <w:name w:val="Body text (2)"/>
    <w:basedOn w:val="Normal"/>
    <w:link w:val="Bodytext2"/>
    <w:pPr>
      <w:shd w:val="clear" w:color="auto" w:fill="FFFFFF"/>
      <w:spacing w:after="540" w:line="264" w:lineRule="exact"/>
    </w:pPr>
    <w:rPr>
      <w:rFonts w:ascii="Book Antiqua" w:eastAsia="Book Antiqua" w:hAnsi="Book Antiqua" w:cs="Book Antiqua"/>
      <w:spacing w:val="-10"/>
      <w:sz w:val="22"/>
      <w:szCs w:val="22"/>
    </w:rPr>
  </w:style>
  <w:style w:type="paragraph" w:customStyle="1" w:styleId="Heading10">
    <w:name w:val="Heading #1"/>
    <w:basedOn w:val="Normal"/>
    <w:link w:val="Heading1"/>
    <w:pPr>
      <w:shd w:val="clear" w:color="auto" w:fill="FFFFFF"/>
      <w:spacing w:line="264" w:lineRule="exact"/>
      <w:outlineLvl w:val="0"/>
    </w:pPr>
    <w:rPr>
      <w:rFonts w:ascii="Book Antiqua" w:eastAsia="Book Antiqua" w:hAnsi="Book Antiqua" w:cs="Book Antiqua"/>
      <w:b/>
      <w:bCs/>
      <w:spacing w:val="-10"/>
    </w:rPr>
  </w:style>
  <w:style w:type="paragraph" w:customStyle="1" w:styleId="Bodytext30">
    <w:name w:val="Body text (3)"/>
    <w:basedOn w:val="Normal"/>
    <w:link w:val="Bodytext3"/>
    <w:pPr>
      <w:shd w:val="clear" w:color="auto" w:fill="FFFFFF"/>
      <w:spacing w:before="540" w:line="221" w:lineRule="exact"/>
    </w:pPr>
    <w:rPr>
      <w:rFonts w:ascii="Book Antiqua" w:eastAsia="Book Antiqua" w:hAnsi="Book Antiqua" w:cs="Book Antiqua"/>
      <w:sz w:val="16"/>
      <w:szCs w:val="16"/>
    </w:rPr>
  </w:style>
  <w:style w:type="paragraph" w:customStyle="1" w:styleId="Heading20">
    <w:name w:val="Heading #2"/>
    <w:basedOn w:val="Normal"/>
    <w:link w:val="Heading2"/>
    <w:pPr>
      <w:shd w:val="clear" w:color="auto" w:fill="FFFFFF"/>
      <w:spacing w:before="1500" w:after="540" w:line="298" w:lineRule="exact"/>
      <w:jc w:val="center"/>
      <w:outlineLvl w:val="1"/>
    </w:pPr>
    <w:rPr>
      <w:rFonts w:ascii="Book Antiqua" w:eastAsia="Book Antiqua" w:hAnsi="Book Antiqua" w:cs="Book Antiqua"/>
      <w:b/>
      <w:bCs/>
      <w:spacing w:val="-10"/>
      <w:sz w:val="22"/>
      <w:szCs w:val="22"/>
    </w:rPr>
  </w:style>
  <w:style w:type="paragraph" w:customStyle="1" w:styleId="Bodytext40">
    <w:name w:val="Body text (4)"/>
    <w:basedOn w:val="Normal"/>
    <w:link w:val="Bodytext4"/>
    <w:pPr>
      <w:shd w:val="clear" w:color="auto" w:fill="FFFFFF"/>
      <w:spacing w:line="163" w:lineRule="exact"/>
    </w:pPr>
    <w:rPr>
      <w:rFonts w:ascii="Book Antiqua" w:eastAsia="Book Antiqua" w:hAnsi="Book Antiqua" w:cs="Book Antiqua"/>
      <w:sz w:val="14"/>
      <w:szCs w:val="14"/>
    </w:rPr>
  </w:style>
  <w:style w:type="paragraph" w:customStyle="1" w:styleId="Bodytext50">
    <w:name w:val="Body text (5)"/>
    <w:basedOn w:val="Normal"/>
    <w:link w:val="Bodytext5"/>
    <w:pPr>
      <w:shd w:val="clear" w:color="auto" w:fill="FFFFFF"/>
      <w:spacing w:line="0" w:lineRule="atLeast"/>
    </w:pPr>
    <w:rPr>
      <w:rFonts w:ascii="Consolas" w:eastAsia="Consolas" w:hAnsi="Consolas" w:cs="Consolas"/>
      <w:i/>
      <w:iCs/>
      <w:sz w:val="8"/>
      <w:szCs w:val="8"/>
    </w:rPr>
  </w:style>
  <w:style w:type="paragraph" w:customStyle="1" w:styleId="Bodytext60">
    <w:name w:val="Body text (6)"/>
    <w:basedOn w:val="Normal"/>
    <w:link w:val="Bodytext6"/>
    <w:pPr>
      <w:shd w:val="clear" w:color="auto" w:fill="FFFFFF"/>
      <w:spacing w:before="1140" w:after="11640" w:line="0" w:lineRule="atLeast"/>
      <w:jc w:val="both"/>
    </w:pPr>
    <w:rPr>
      <w:rFonts w:ascii="Book Antiqua" w:eastAsia="Book Antiqua" w:hAnsi="Book Antiqua" w:cs="Book Antiqua"/>
      <w:b/>
      <w:bCs/>
      <w:sz w:val="21"/>
      <w:szCs w:val="21"/>
    </w:rPr>
  </w:style>
  <w:style w:type="paragraph" w:customStyle="1" w:styleId="Bodytext70">
    <w:name w:val="Body text (7)"/>
    <w:basedOn w:val="Normal"/>
    <w:link w:val="Bodytext7"/>
    <w:pPr>
      <w:shd w:val="clear" w:color="auto" w:fill="FFFFFF"/>
      <w:spacing w:before="11640" w:line="0" w:lineRule="atLeast"/>
      <w:jc w:val="right"/>
    </w:pPr>
    <w:rPr>
      <w:rFonts w:ascii="Book Antiqua" w:eastAsia="Book Antiqua" w:hAnsi="Book Antiqua" w:cs="Book Antiqua"/>
      <w:sz w:val="14"/>
      <w:szCs w:val="14"/>
    </w:rPr>
  </w:style>
  <w:style w:type="paragraph" w:styleId="BalloonText">
    <w:name w:val="Balloon Text"/>
    <w:basedOn w:val="Normal"/>
    <w:link w:val="BalloonTextChar"/>
    <w:uiPriority w:val="99"/>
    <w:semiHidden/>
    <w:unhideWhenUsed/>
    <w:rsid w:val="00A35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7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MILEA</dc:creator>
  <cp:lastModifiedBy>Aura Poenar</cp:lastModifiedBy>
  <cp:revision>3</cp:revision>
  <cp:lastPrinted>2020-06-26T12:19:00Z</cp:lastPrinted>
  <dcterms:created xsi:type="dcterms:W3CDTF">2020-12-29T09:55:00Z</dcterms:created>
  <dcterms:modified xsi:type="dcterms:W3CDTF">2022-05-17T09:16:00Z</dcterms:modified>
</cp:coreProperties>
</file>